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90F0E" w14:textId="77777777" w:rsidR="006B53C0" w:rsidRDefault="006B53C0" w:rsidP="006B53C0">
      <w:r>
        <w:t>p. 429</w:t>
      </w:r>
    </w:p>
    <w:p w14:paraId="2FF35BE3" w14:textId="77777777" w:rsidR="006B53C0" w:rsidRDefault="006B53C0" w:rsidP="006B53C0"/>
    <w:p w14:paraId="2618D81A" w14:textId="77777777" w:rsidR="006B53C0" w:rsidRPr="00BA319E" w:rsidRDefault="006B53C0" w:rsidP="006B53C0">
      <w:pPr>
        <w:rPr>
          <w:b/>
        </w:rPr>
      </w:pPr>
      <w:r w:rsidRPr="00BA319E">
        <w:rPr>
          <w:b/>
        </w:rPr>
        <w:t xml:space="preserve">Matched Pairs </w:t>
      </w:r>
      <w:r w:rsidRPr="00B070BB">
        <w:rPr>
          <w:b/>
          <w:i/>
        </w:rPr>
        <w:t>I</w:t>
      </w:r>
      <w:r w:rsidRPr="00BA319E">
        <w:rPr>
          <w:b/>
        </w:rPr>
        <w:t>×</w:t>
      </w:r>
      <w:r w:rsidRPr="00B070BB">
        <w:rPr>
          <w:b/>
          <w:i/>
        </w:rPr>
        <w:t>I</w:t>
      </w:r>
      <w:r w:rsidRPr="00BA319E">
        <w:rPr>
          <w:b/>
        </w:rPr>
        <w:t xml:space="preserve"> Table</w:t>
      </w:r>
      <w:r w:rsidR="00FB4789">
        <w:rPr>
          <w:b/>
        </w:rPr>
        <w:t xml:space="preserve"> (</w:t>
      </w:r>
      <w:proofErr w:type="spellStart"/>
      <w:r w:rsidR="00FB4789">
        <w:rPr>
          <w:b/>
        </w:rPr>
        <w:t>McNemar-Bowker</w:t>
      </w:r>
      <w:proofErr w:type="spellEnd"/>
      <w:r w:rsidR="00FB4789">
        <w:rPr>
          <w:b/>
        </w:rPr>
        <w:t xml:space="preserve"> T</w:t>
      </w:r>
      <w:bookmarkStart w:id="0" w:name="_GoBack"/>
      <w:bookmarkEnd w:id="0"/>
      <w:r>
        <w:rPr>
          <w:b/>
        </w:rPr>
        <w:t>est)</w:t>
      </w:r>
    </w:p>
    <w:p w14:paraId="22271F9C" w14:textId="77777777" w:rsidR="006B53C0" w:rsidRDefault="006B53C0" w:rsidP="006B53C0">
      <w:proofErr w:type="gramStart"/>
      <w:r>
        <w:t>As  an</w:t>
      </w:r>
      <w:proofErr w:type="gramEnd"/>
      <w:r>
        <w:t xml:space="preserve"> extension of </w:t>
      </w:r>
      <w:proofErr w:type="spellStart"/>
      <w:r>
        <w:t>McNemar’s</w:t>
      </w:r>
      <w:proofErr w:type="spellEnd"/>
      <w:r>
        <w:t xml:space="preserve"> setup, now consider disease severity in each patient before and after a therapy. The degree of severity can have many categories—for simplicity assume only as none, mild, moderate and serious. Or, you can have two raters for assessing the severity before therapy only. In this case, on both the occasions, there are 4 categories instead of 2 in classical </w:t>
      </w:r>
      <w:proofErr w:type="spellStart"/>
      <w:r>
        <w:t>McNemar</w:t>
      </w:r>
      <w:proofErr w:type="spellEnd"/>
      <w:r>
        <w:t xml:space="preserve"> setup. This is a square table. The null of interest is </w:t>
      </w:r>
      <w:r w:rsidRPr="00BA319E">
        <w:rPr>
          <w:i/>
        </w:rPr>
        <w:t>π</w:t>
      </w:r>
      <w:r>
        <w:rPr>
          <w:i/>
          <w:vertAlign w:val="subscript"/>
        </w:rPr>
        <w:t>ii</w:t>
      </w:r>
      <w:r w:rsidRPr="00BA319E">
        <w:rPr>
          <w:i/>
          <w:vertAlign w:val="subscript"/>
        </w:rPr>
        <w:t>’</w:t>
      </w:r>
      <w:r>
        <w:t xml:space="preserve"> = </w:t>
      </w:r>
      <w:r w:rsidRPr="00BA319E">
        <w:rPr>
          <w:i/>
        </w:rPr>
        <w:t>π</w:t>
      </w:r>
      <w:proofErr w:type="spellStart"/>
      <w:r>
        <w:rPr>
          <w:i/>
          <w:vertAlign w:val="subscript"/>
        </w:rPr>
        <w:t>i’i</w:t>
      </w:r>
      <w:proofErr w:type="spellEnd"/>
      <w:r>
        <w:t xml:space="preserve"> for all </w:t>
      </w:r>
      <w:proofErr w:type="spellStart"/>
      <w:r>
        <w:rPr>
          <w:i/>
        </w:rPr>
        <w:t>i</w:t>
      </w:r>
      <w:proofErr w:type="spellEnd"/>
      <w:r>
        <w:t xml:space="preserve">, </w:t>
      </w:r>
      <w:proofErr w:type="spellStart"/>
      <w:r>
        <w:rPr>
          <w:i/>
        </w:rPr>
        <w:t>i</w:t>
      </w:r>
      <w:proofErr w:type="spellEnd"/>
      <w:r w:rsidRPr="00BA319E">
        <w:rPr>
          <w:i/>
        </w:rPr>
        <w:t>’</w:t>
      </w:r>
      <w:r>
        <w:t>. This null says, for example, that the probability of mild-severe combination before-after therapy is the same as the probability of severe-mild combination. For this reason, this is called hypothesis of symmetry. This is different from agreement discussed later. (Does it imply no association between before and after severity?) For this use the following test.</w:t>
      </w:r>
    </w:p>
    <w:p w14:paraId="51F4660F" w14:textId="77777777" w:rsidR="006B53C0" w:rsidRDefault="006B53C0" w:rsidP="006B53C0">
      <w:pPr>
        <w:ind w:firstLine="720"/>
      </w:pPr>
      <w:proofErr w:type="spellStart"/>
      <w:r>
        <w:t>McNemar-Bowker</w:t>
      </w:r>
      <w:proofErr w:type="spellEnd"/>
      <w:r>
        <w:t xml:space="preserve"> test for symmetry: </w:t>
      </w:r>
      <w:r w:rsidRPr="00BA319E">
        <w:rPr>
          <w:i/>
        </w:rPr>
        <w:t>χ</w:t>
      </w:r>
      <w:r w:rsidRPr="00BA319E">
        <w:rPr>
          <w:vertAlign w:val="superscript"/>
        </w:rPr>
        <w:t>2</w:t>
      </w:r>
      <w:r>
        <w:t xml:space="preserve"> = </w:t>
      </w:r>
      <w:r w:rsidRPr="00BA319E">
        <w:rPr>
          <w:position w:val="-28"/>
        </w:rPr>
        <w:object w:dxaOrig="1380" w:dyaOrig="639" w14:anchorId="61553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2pt" o:ole="">
            <v:imagedata r:id="rId5" o:title=""/>
          </v:shape>
          <o:OLEObject Type="Embed" ProgID="Equation.3" ShapeID="_x0000_i1025" DrawAspect="Content" ObjectID="_1235201417" r:id="rId6"/>
        </w:object>
      </w:r>
      <w:r>
        <w:t>.</w:t>
      </w:r>
    </w:p>
    <w:p w14:paraId="27FC24BE" w14:textId="77777777" w:rsidR="006B53C0" w:rsidRDefault="006B53C0" w:rsidP="006B53C0">
      <w:r>
        <w:t xml:space="preserve">This is referred to chi-square with </w:t>
      </w:r>
      <w:proofErr w:type="gramStart"/>
      <w:r w:rsidRPr="00CD0695">
        <w:rPr>
          <w:i/>
        </w:rPr>
        <w:t>I</w:t>
      </w:r>
      <w:r>
        <w:t>(</w:t>
      </w:r>
      <w:proofErr w:type="gramEnd"/>
      <w:r w:rsidRPr="00CD0695">
        <w:rPr>
          <w:i/>
        </w:rPr>
        <w:t>I</w:t>
      </w:r>
      <w:r>
        <w:t xml:space="preserve"> – 1)/2 </w:t>
      </w:r>
      <w:proofErr w:type="spellStart"/>
      <w:r>
        <w:t>df</w:t>
      </w:r>
      <w:proofErr w:type="spellEnd"/>
      <w:r>
        <w:t xml:space="preserve"> for large </w:t>
      </w:r>
      <w:r w:rsidRPr="00B070BB">
        <w:rPr>
          <w:i/>
        </w:rPr>
        <w:t>n</w:t>
      </w:r>
      <w:r>
        <w:t>.</w:t>
      </w:r>
    </w:p>
    <w:p w14:paraId="0F1A57F4" w14:textId="77777777" w:rsidR="006B53C0" w:rsidRDefault="006B53C0" w:rsidP="006B53C0"/>
    <w:p w14:paraId="00ACF7B2" w14:textId="77777777" w:rsidR="006B53C0" w:rsidRPr="00B070BB" w:rsidRDefault="006B53C0" w:rsidP="006B53C0">
      <w:pPr>
        <w:rPr>
          <w:b/>
        </w:rPr>
      </w:pPr>
      <w:r w:rsidRPr="00B070BB">
        <w:rPr>
          <w:b/>
        </w:rPr>
        <w:t>Example 131.13 Type of cataract in left and right eye</w:t>
      </w:r>
    </w:p>
    <w:p w14:paraId="06A72928" w14:textId="77777777" w:rsidR="006B53C0" w:rsidRDefault="006B53C0" w:rsidP="006B53C0">
      <w:r>
        <w:t>The following are the data on type of cataract seen in a random sample of patients attending a particular eye hospital.</w:t>
      </w:r>
    </w:p>
    <w:p w14:paraId="55E28D91" w14:textId="77777777" w:rsidR="006B53C0" w:rsidRDefault="006B53C0" w:rsidP="006B53C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096"/>
        <w:gridCol w:w="1110"/>
        <w:gridCol w:w="1396"/>
        <w:gridCol w:w="1238"/>
      </w:tblGrid>
      <w:tr w:rsidR="006B53C0" w14:paraId="2BAF97FD" w14:textId="77777777" w:rsidTr="002F70DC">
        <w:trPr>
          <w:jc w:val="center"/>
        </w:trPr>
        <w:tc>
          <w:tcPr>
            <w:tcW w:w="1510" w:type="dxa"/>
            <w:vMerge w:val="restart"/>
            <w:vAlign w:val="bottom"/>
          </w:tcPr>
          <w:p w14:paraId="6F5DD530" w14:textId="77777777" w:rsidR="006B53C0" w:rsidRDefault="006B53C0" w:rsidP="002F70DC">
            <w:r>
              <w:t>Left eye</w:t>
            </w:r>
          </w:p>
        </w:tc>
        <w:tc>
          <w:tcPr>
            <w:tcW w:w="3602" w:type="dxa"/>
            <w:gridSpan w:val="3"/>
          </w:tcPr>
          <w:p w14:paraId="7DC88766" w14:textId="77777777" w:rsidR="006B53C0" w:rsidRDefault="006B53C0" w:rsidP="002F70DC">
            <w:pPr>
              <w:jc w:val="center"/>
            </w:pPr>
            <w:r>
              <w:t>Right eye</w:t>
            </w:r>
          </w:p>
        </w:tc>
        <w:tc>
          <w:tcPr>
            <w:tcW w:w="1238" w:type="dxa"/>
            <w:vMerge w:val="restart"/>
            <w:vAlign w:val="bottom"/>
          </w:tcPr>
          <w:p w14:paraId="10FF42BA" w14:textId="77777777" w:rsidR="006B53C0" w:rsidRDefault="006B53C0" w:rsidP="002F70DC">
            <w:pPr>
              <w:jc w:val="center"/>
            </w:pPr>
            <w:r>
              <w:t>Total</w:t>
            </w:r>
          </w:p>
        </w:tc>
      </w:tr>
      <w:tr w:rsidR="006B53C0" w14:paraId="1BA324F9" w14:textId="77777777" w:rsidTr="002F70DC">
        <w:trPr>
          <w:jc w:val="center"/>
        </w:trPr>
        <w:tc>
          <w:tcPr>
            <w:tcW w:w="1510" w:type="dxa"/>
            <w:vMerge/>
          </w:tcPr>
          <w:p w14:paraId="0A668427" w14:textId="77777777" w:rsidR="006B53C0" w:rsidRDefault="006B53C0" w:rsidP="002F70DC"/>
        </w:tc>
        <w:tc>
          <w:tcPr>
            <w:tcW w:w="1096" w:type="dxa"/>
          </w:tcPr>
          <w:p w14:paraId="19E88B56" w14:textId="77777777" w:rsidR="006B53C0" w:rsidRDefault="006B53C0" w:rsidP="002F70DC">
            <w:pPr>
              <w:jc w:val="center"/>
            </w:pPr>
            <w:r>
              <w:t>Nuclear</w:t>
            </w:r>
          </w:p>
        </w:tc>
        <w:tc>
          <w:tcPr>
            <w:tcW w:w="1110" w:type="dxa"/>
          </w:tcPr>
          <w:p w14:paraId="09361A71" w14:textId="77777777" w:rsidR="006B53C0" w:rsidRDefault="006B53C0" w:rsidP="002F70DC">
            <w:pPr>
              <w:jc w:val="center"/>
            </w:pPr>
            <w:r>
              <w:t>Cortical</w:t>
            </w:r>
          </w:p>
        </w:tc>
        <w:tc>
          <w:tcPr>
            <w:tcW w:w="1396" w:type="dxa"/>
          </w:tcPr>
          <w:p w14:paraId="7BA11D5D" w14:textId="77777777" w:rsidR="006B53C0" w:rsidRDefault="006B53C0" w:rsidP="002F70DC">
            <w:pPr>
              <w:jc w:val="center"/>
            </w:pPr>
            <w:proofErr w:type="spellStart"/>
            <w:r>
              <w:t>Subcapsular</w:t>
            </w:r>
            <w:proofErr w:type="spellEnd"/>
          </w:p>
        </w:tc>
        <w:tc>
          <w:tcPr>
            <w:tcW w:w="1238" w:type="dxa"/>
            <w:vMerge/>
          </w:tcPr>
          <w:p w14:paraId="6EF08174" w14:textId="77777777" w:rsidR="006B53C0" w:rsidRDefault="006B53C0" w:rsidP="002F70DC"/>
        </w:tc>
      </w:tr>
      <w:tr w:rsidR="006B53C0" w14:paraId="16D1C461" w14:textId="77777777" w:rsidTr="002F70DC">
        <w:trPr>
          <w:jc w:val="center"/>
        </w:trPr>
        <w:tc>
          <w:tcPr>
            <w:tcW w:w="1510" w:type="dxa"/>
          </w:tcPr>
          <w:p w14:paraId="5CCE123D" w14:textId="77777777" w:rsidR="006B53C0" w:rsidRDefault="006B53C0" w:rsidP="002F70DC">
            <w:r>
              <w:t>Nuclear</w:t>
            </w:r>
          </w:p>
        </w:tc>
        <w:tc>
          <w:tcPr>
            <w:tcW w:w="1096" w:type="dxa"/>
          </w:tcPr>
          <w:p w14:paraId="689E8753" w14:textId="77777777" w:rsidR="006B53C0" w:rsidRDefault="006B53C0" w:rsidP="002F70DC">
            <w:pPr>
              <w:jc w:val="center"/>
            </w:pPr>
            <w:r>
              <w:t>18</w:t>
            </w:r>
          </w:p>
        </w:tc>
        <w:tc>
          <w:tcPr>
            <w:tcW w:w="1110" w:type="dxa"/>
          </w:tcPr>
          <w:p w14:paraId="24BA5AD6" w14:textId="77777777" w:rsidR="006B53C0" w:rsidRDefault="006B53C0" w:rsidP="002F70DC">
            <w:pPr>
              <w:jc w:val="center"/>
            </w:pPr>
            <w:r>
              <w:t>11</w:t>
            </w:r>
          </w:p>
        </w:tc>
        <w:tc>
          <w:tcPr>
            <w:tcW w:w="1396" w:type="dxa"/>
          </w:tcPr>
          <w:p w14:paraId="1C3B9BDC" w14:textId="77777777" w:rsidR="006B53C0" w:rsidRDefault="006B53C0" w:rsidP="002F70DC">
            <w:pPr>
              <w:jc w:val="center"/>
            </w:pPr>
            <w:r>
              <w:t xml:space="preserve"> 6</w:t>
            </w:r>
          </w:p>
        </w:tc>
        <w:tc>
          <w:tcPr>
            <w:tcW w:w="1238" w:type="dxa"/>
          </w:tcPr>
          <w:p w14:paraId="35D711C7" w14:textId="77777777" w:rsidR="006B53C0" w:rsidRDefault="006B53C0" w:rsidP="002F70DC">
            <w:pPr>
              <w:jc w:val="center"/>
            </w:pPr>
            <w:r>
              <w:t>35</w:t>
            </w:r>
          </w:p>
        </w:tc>
      </w:tr>
      <w:tr w:rsidR="006B53C0" w14:paraId="1FF2F1C9" w14:textId="77777777" w:rsidTr="002F70DC">
        <w:trPr>
          <w:jc w:val="center"/>
        </w:trPr>
        <w:tc>
          <w:tcPr>
            <w:tcW w:w="1510" w:type="dxa"/>
          </w:tcPr>
          <w:p w14:paraId="086782DA" w14:textId="77777777" w:rsidR="006B53C0" w:rsidRDefault="006B53C0" w:rsidP="002F70DC">
            <w:r>
              <w:t>Cortical</w:t>
            </w:r>
          </w:p>
        </w:tc>
        <w:tc>
          <w:tcPr>
            <w:tcW w:w="1096" w:type="dxa"/>
          </w:tcPr>
          <w:p w14:paraId="06138EDC" w14:textId="77777777" w:rsidR="006B53C0" w:rsidRDefault="006B53C0" w:rsidP="002F70DC">
            <w:pPr>
              <w:jc w:val="center"/>
            </w:pPr>
            <w:r>
              <w:t xml:space="preserve"> 3</w:t>
            </w:r>
          </w:p>
        </w:tc>
        <w:tc>
          <w:tcPr>
            <w:tcW w:w="1110" w:type="dxa"/>
          </w:tcPr>
          <w:p w14:paraId="375C4119" w14:textId="77777777" w:rsidR="006B53C0" w:rsidRDefault="006B53C0" w:rsidP="002F70DC">
            <w:pPr>
              <w:jc w:val="center"/>
            </w:pPr>
            <w:r>
              <w:t>15</w:t>
            </w:r>
          </w:p>
        </w:tc>
        <w:tc>
          <w:tcPr>
            <w:tcW w:w="1396" w:type="dxa"/>
          </w:tcPr>
          <w:p w14:paraId="693A383E" w14:textId="77777777" w:rsidR="006B53C0" w:rsidRDefault="006B53C0" w:rsidP="002F70DC">
            <w:pPr>
              <w:jc w:val="center"/>
            </w:pPr>
            <w:r>
              <w:t xml:space="preserve"> 7</w:t>
            </w:r>
          </w:p>
        </w:tc>
        <w:tc>
          <w:tcPr>
            <w:tcW w:w="1238" w:type="dxa"/>
          </w:tcPr>
          <w:p w14:paraId="798C8C65" w14:textId="77777777" w:rsidR="006B53C0" w:rsidRDefault="006B53C0" w:rsidP="002F70DC">
            <w:pPr>
              <w:jc w:val="center"/>
            </w:pPr>
            <w:r>
              <w:t>25</w:t>
            </w:r>
          </w:p>
        </w:tc>
      </w:tr>
      <w:tr w:rsidR="006B53C0" w14:paraId="7F71A193" w14:textId="77777777" w:rsidTr="002F70DC">
        <w:trPr>
          <w:jc w:val="center"/>
        </w:trPr>
        <w:tc>
          <w:tcPr>
            <w:tcW w:w="1510" w:type="dxa"/>
          </w:tcPr>
          <w:p w14:paraId="46325F7F" w14:textId="77777777" w:rsidR="006B53C0" w:rsidRDefault="006B53C0" w:rsidP="002F70DC">
            <w:proofErr w:type="spellStart"/>
            <w:r>
              <w:t>Subcapsular</w:t>
            </w:r>
            <w:proofErr w:type="spellEnd"/>
          </w:p>
        </w:tc>
        <w:tc>
          <w:tcPr>
            <w:tcW w:w="1096" w:type="dxa"/>
          </w:tcPr>
          <w:p w14:paraId="15865CD0" w14:textId="77777777" w:rsidR="006B53C0" w:rsidRDefault="006B53C0" w:rsidP="002F70DC">
            <w:pPr>
              <w:jc w:val="center"/>
            </w:pPr>
            <w:r>
              <w:t>10</w:t>
            </w:r>
          </w:p>
        </w:tc>
        <w:tc>
          <w:tcPr>
            <w:tcW w:w="1110" w:type="dxa"/>
          </w:tcPr>
          <w:p w14:paraId="5EA34A96" w14:textId="77777777" w:rsidR="006B53C0" w:rsidRDefault="006B53C0" w:rsidP="002F70DC">
            <w:pPr>
              <w:jc w:val="center"/>
            </w:pPr>
            <w:r>
              <w:t xml:space="preserve"> 9</w:t>
            </w:r>
          </w:p>
        </w:tc>
        <w:tc>
          <w:tcPr>
            <w:tcW w:w="1396" w:type="dxa"/>
          </w:tcPr>
          <w:p w14:paraId="39715115" w14:textId="77777777" w:rsidR="006B53C0" w:rsidRDefault="006B53C0" w:rsidP="002F70DC">
            <w:pPr>
              <w:jc w:val="center"/>
            </w:pPr>
            <w:r>
              <w:t>16</w:t>
            </w:r>
          </w:p>
        </w:tc>
        <w:tc>
          <w:tcPr>
            <w:tcW w:w="1238" w:type="dxa"/>
          </w:tcPr>
          <w:p w14:paraId="4B405E62" w14:textId="77777777" w:rsidR="006B53C0" w:rsidRDefault="006B53C0" w:rsidP="002F70DC">
            <w:pPr>
              <w:jc w:val="center"/>
            </w:pPr>
            <w:r>
              <w:t>35</w:t>
            </w:r>
          </w:p>
        </w:tc>
      </w:tr>
      <w:tr w:rsidR="006B53C0" w14:paraId="42CFF513" w14:textId="77777777" w:rsidTr="002F70DC">
        <w:trPr>
          <w:jc w:val="center"/>
        </w:trPr>
        <w:tc>
          <w:tcPr>
            <w:tcW w:w="1510" w:type="dxa"/>
          </w:tcPr>
          <w:p w14:paraId="45508BA6" w14:textId="77777777" w:rsidR="006B53C0" w:rsidRDefault="006B53C0" w:rsidP="002F70DC">
            <w:r>
              <w:t>Total</w:t>
            </w:r>
          </w:p>
        </w:tc>
        <w:tc>
          <w:tcPr>
            <w:tcW w:w="1096" w:type="dxa"/>
          </w:tcPr>
          <w:p w14:paraId="3E0A33E6" w14:textId="77777777" w:rsidR="006B53C0" w:rsidRDefault="006B53C0" w:rsidP="002F70DC">
            <w:pPr>
              <w:jc w:val="center"/>
            </w:pPr>
            <w:r>
              <w:t>31</w:t>
            </w:r>
          </w:p>
        </w:tc>
        <w:tc>
          <w:tcPr>
            <w:tcW w:w="1110" w:type="dxa"/>
          </w:tcPr>
          <w:p w14:paraId="2875DB2B" w14:textId="77777777" w:rsidR="006B53C0" w:rsidRDefault="006B53C0" w:rsidP="002F70DC">
            <w:pPr>
              <w:jc w:val="center"/>
            </w:pPr>
            <w:r>
              <w:t>35</w:t>
            </w:r>
          </w:p>
        </w:tc>
        <w:tc>
          <w:tcPr>
            <w:tcW w:w="1396" w:type="dxa"/>
          </w:tcPr>
          <w:p w14:paraId="4C65C794" w14:textId="77777777" w:rsidR="006B53C0" w:rsidRDefault="006B53C0" w:rsidP="002F70DC">
            <w:pPr>
              <w:jc w:val="center"/>
            </w:pPr>
            <w:r>
              <w:t>29</w:t>
            </w:r>
          </w:p>
        </w:tc>
        <w:tc>
          <w:tcPr>
            <w:tcW w:w="1238" w:type="dxa"/>
          </w:tcPr>
          <w:p w14:paraId="77A65320" w14:textId="77777777" w:rsidR="006B53C0" w:rsidRDefault="006B53C0" w:rsidP="002F70DC">
            <w:pPr>
              <w:jc w:val="center"/>
            </w:pPr>
            <w:r>
              <w:t>95</w:t>
            </w:r>
          </w:p>
        </w:tc>
      </w:tr>
    </w:tbl>
    <w:p w14:paraId="3EF9BCE2" w14:textId="77777777" w:rsidR="006B53C0" w:rsidRDefault="006B53C0" w:rsidP="006B53C0"/>
    <w:p w14:paraId="0DD001EC" w14:textId="77777777" w:rsidR="006B53C0" w:rsidRDefault="006B53C0" w:rsidP="006B53C0">
      <w:pPr>
        <w:ind w:firstLine="720"/>
      </w:pPr>
      <w:r>
        <w:t xml:space="preserve">The null hypothesis in this case is that </w:t>
      </w:r>
      <w:proofErr w:type="spellStart"/>
      <w:r>
        <w:t>disconcordance</w:t>
      </w:r>
      <w:proofErr w:type="spellEnd"/>
      <w:r>
        <w:t xml:space="preserve"> in type of cataract between left and right eye is the same as between left and right eye. In other words, the side of the eye does not matter (Check). </w:t>
      </w:r>
    </w:p>
    <w:p w14:paraId="7FE669B6" w14:textId="77777777" w:rsidR="006B53C0" w:rsidRDefault="006B53C0" w:rsidP="006B53C0">
      <w:r>
        <w:tab/>
        <w:t>If you look at the data, when left eye has nuclear cataract, right eye has cortical cataract in 11 subjects. Against this, when left eye has cortical, right eye has nuclear cataract. This large difference suggests that nuclear cataract in left eye has some association with cortical cataract in right eye. Whether the patterns on the whole are really different?</w:t>
      </w:r>
    </w:p>
    <w:p w14:paraId="4572670C" w14:textId="77777777" w:rsidR="006B53C0" w:rsidRDefault="006B53C0" w:rsidP="006B53C0">
      <w:r>
        <w:tab/>
        <w:t xml:space="preserve">For these data, </w:t>
      </w:r>
      <w:proofErr w:type="spellStart"/>
      <w:r>
        <w:t>McNemar-Bowker</w:t>
      </w:r>
      <w:proofErr w:type="spellEnd"/>
      <w:r>
        <w:t xml:space="preserve"> test</w:t>
      </w:r>
    </w:p>
    <w:p w14:paraId="50E821FB" w14:textId="77777777" w:rsidR="006B53C0" w:rsidRDefault="006B53C0" w:rsidP="006B53C0">
      <w:pPr>
        <w:tabs>
          <w:tab w:val="left" w:pos="720"/>
          <w:tab w:val="left" w:pos="1965"/>
        </w:tabs>
      </w:pPr>
      <w:r>
        <w:tab/>
      </w:r>
      <w:r w:rsidRPr="00BA319E">
        <w:rPr>
          <w:i/>
        </w:rPr>
        <w:t>χ</w:t>
      </w:r>
      <w:r w:rsidRPr="00BA319E">
        <w:rPr>
          <w:vertAlign w:val="superscript"/>
        </w:rPr>
        <w:t>2</w:t>
      </w:r>
      <w:r>
        <w:t xml:space="preserve"> = </w:t>
      </w:r>
      <w:r w:rsidRPr="008D28CE">
        <w:rPr>
          <w:position w:val="-22"/>
        </w:rPr>
        <w:object w:dxaOrig="2900" w:dyaOrig="620" w14:anchorId="1C406129">
          <v:shape id="_x0000_i1026" type="#_x0000_t75" style="width:145pt;height:31pt" o:ole="">
            <v:imagedata r:id="rId7" o:title=""/>
          </v:shape>
          <o:OLEObject Type="Embed" ProgID="Equation.3" ShapeID="_x0000_i1026" DrawAspect="Content" ObjectID="_1235201418" r:id="rId8"/>
        </w:object>
      </w:r>
    </w:p>
    <w:p w14:paraId="746C863A" w14:textId="77777777" w:rsidR="006B53C0" w:rsidRDefault="006B53C0" w:rsidP="006B53C0">
      <w:pPr>
        <w:tabs>
          <w:tab w:val="left" w:pos="720"/>
          <w:tab w:val="left" w:pos="1965"/>
        </w:tabs>
      </w:pPr>
      <w:r>
        <w:tab/>
        <w:t xml:space="preserve">    = 4.5714 + 1.0000 + 0.2500 = 5.82.</w:t>
      </w:r>
    </w:p>
    <w:p w14:paraId="02665C6E" w14:textId="77777777" w:rsidR="006B53C0" w:rsidRPr="008D28CE" w:rsidRDefault="006B53C0" w:rsidP="006B53C0">
      <w:pPr>
        <w:tabs>
          <w:tab w:val="left" w:pos="720"/>
          <w:tab w:val="left" w:pos="1965"/>
        </w:tabs>
      </w:pPr>
      <w:r>
        <w:t xml:space="preserve">Since </w:t>
      </w:r>
      <w:r w:rsidRPr="00042963">
        <w:rPr>
          <w:i/>
        </w:rPr>
        <w:t>I</w:t>
      </w:r>
      <w:r>
        <w:t xml:space="preserve"> = 3 in this case, the </w:t>
      </w:r>
      <w:proofErr w:type="spellStart"/>
      <w:proofErr w:type="gramStart"/>
      <w:r>
        <w:t>df</w:t>
      </w:r>
      <w:proofErr w:type="spellEnd"/>
      <w:proofErr w:type="gramEnd"/>
      <w:r>
        <w:t xml:space="preserve"> = 3(3 – 1)/2 = 3. The table value of chi-square at 3 </w:t>
      </w:r>
      <w:proofErr w:type="spellStart"/>
      <w:proofErr w:type="gramStart"/>
      <w:r>
        <w:t>df</w:t>
      </w:r>
      <w:proofErr w:type="spellEnd"/>
      <w:proofErr w:type="gramEnd"/>
      <w:r>
        <w:t xml:space="preserve"> is 7.815 at 5% level. Since the calculated value is less, you </w:t>
      </w:r>
      <w:proofErr w:type="gramStart"/>
      <w:r>
        <w:t>can not</w:t>
      </w:r>
      <w:proofErr w:type="gramEnd"/>
      <w:r>
        <w:t xml:space="preserve"> reject the null at 5% level of significance. Despite big difference between 11 and 3, when other cells are considered, the data are not enough to conclude that the pattern of type of cataract in left eye is different from that in right eye (can we make this statement?)</w:t>
      </w:r>
    </w:p>
    <w:p w14:paraId="2BF49718" w14:textId="77777777" w:rsidR="00461144" w:rsidRDefault="00461144"/>
    <w:sectPr w:rsidR="00461144" w:rsidSect="004611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3C0"/>
    <w:rsid w:val="00461144"/>
    <w:rsid w:val="006B53C0"/>
    <w:rsid w:val="00FB4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9176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wmf"/><Relationship Id="rId6" Type="http://schemas.openxmlformats.org/officeDocument/2006/relationships/oleObject" Target="embeddings/Microsoft_Equation1.bin"/><Relationship Id="rId7" Type="http://schemas.openxmlformats.org/officeDocument/2006/relationships/image" Target="media/image2.wmf"/><Relationship Id="rId8" Type="http://schemas.openxmlformats.org/officeDocument/2006/relationships/oleObject" Target="embeddings/Microsoft_Equation2.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2083</Characters>
  <Application>Microsoft Macintosh Word</Application>
  <DocSecurity>0</DocSecurity>
  <Lines>17</Lines>
  <Paragraphs>4</Paragraphs>
  <ScaleCrop>false</ScaleCrop>
  <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Mummy-Papa Indrayan</dc:creator>
  <cp:keywords/>
  <dc:description/>
  <cp:lastModifiedBy>Mummy-Papa Indrayan</cp:lastModifiedBy>
  <cp:revision>2</cp:revision>
  <dcterms:created xsi:type="dcterms:W3CDTF">2011-03-11T15:42:00Z</dcterms:created>
  <dcterms:modified xsi:type="dcterms:W3CDTF">2011-03-11T15:44:00Z</dcterms:modified>
</cp:coreProperties>
</file>